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У</w:t>
      </w:r>
      <w:r>
        <w:rPr>
          <w:rFonts w:ascii="Times New Roman" w:hAnsi="Times New Roman"/>
          <w:b w:val="1"/>
        </w:rPr>
        <w:t>станавливаются особенности регулирования применения БАД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 1 сентября 2025 года вступает в силу Федеральный закон от 07.06.2025 № 150-ФЗ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"О внесении изменений в отдельные законодательные акты Российской Федерации"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который устанавливает особенности регулирования применения биологически активных добавок (БАД).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Согласно закону, медицинские работники смогут назначать пациентам зарегистрированные в России БАДы при наличии медицинских показаний и в соответствии с утверждёнными методическими рекомендациями. В перечень таких добавок будут включаться только те, которые соответствуют критериям качества и эффективности, установленным Правительством РФ, а также требованиям технических регламентов Евразийского экономического союза.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законом запрещается распространение информации о продаже незарегистрированных или запрещённых к реализации БАД, в том числе через интернет, с возможностью досудебной блокировки таких сайтов Роспотребнадзором. Также вводится запрет на использование в производстве БАД кормовых добавок, гормональных препаратов, пестицидов и других опасных веществ.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Данные меры направлены на повышение безопасности и качества биологически активных добавок, а также на регулирование их оборота с учётом медицинских показаний и контроля со стороны государства.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предусматривает, что медицинские работники не вправе получать вознаграждение от производителей или продавцов БАД за их назначение и обязаны соблюдать ограничения, установленные законодательством.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Таким образом, с 1 сентября 2025 года в России вводится комплексный механизм контроля и регулирования применения БАД, что способствует защите здоровья граждан и развитию отечественного производства качественных биодобавок.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rPr>
      <w:sz w:val="24"/>
    </w:rPr>
  </w:style>
  <w:style w:styleId="Style_8_ch" w:type="character">
    <w:name w:val="Normal (Web)"/>
    <w:basedOn w:val="Style_1_ch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1_ch" w:type="character">
    <w:name w:val="heading 1"/>
    <w:link w:val="Style_11"/>
    <w:rPr>
      <w:rFonts w:ascii="SimSun" w:hAnsi="SimSun"/>
      <w:b w:val="1"/>
      <w:sz w:val="4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basedOn w:val="Style_12"/>
    <w:link w:val="Style_13_ch"/>
    <w:rPr>
      <w:color w:val="0000FF"/>
      <w:u w:val="single"/>
    </w:rPr>
  </w:style>
  <w:style w:styleId="Style_13_ch" w:type="character">
    <w:name w:val="Hyperlink"/>
    <w:basedOn w:val="Style_12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2025-10-22T13:22:07Z</dcterms:modified>
</cp:coreProperties>
</file>